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360" w:lineRule="auto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spacing w:line="360" w:lineRule="auto"/>
        <w:ind w:left="0" w:leftChars="0" w:right="0" w:rightChars="0" w:firstLine="0" w:firstLineChars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清远市归国华侨联合会政府购买服务人员专项费用项目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绩效自评报告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一）资金设立背景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为解决我单位编制人数已满，工作量增多但人员不足问题，我单位根据《关于核定有关单位政府雇员名额的通知》（清机编办发〔2015〕112号）和《清远市市直机关事业单位政府购买服务人员管理办法》（清府办〔2016〕20号）的文件精神，经市人社局核定，我单位可聘请政府购买服务人员（行政辅助类）2 名。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（二）资金有关情况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该资金使用年限一年（2021年），申请预算金额13.06万元，到位13.06万元，实际支出9.01万元，主要用于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政府购买服务人员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工资、绩效奖、社保、住房公积金、体检费等。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自评情况</w:t>
      </w:r>
    </w:p>
    <w:p>
      <w:pPr>
        <w:numPr>
          <w:ilvl w:val="0"/>
          <w:numId w:val="2"/>
        </w:numPr>
        <w:snapToGrid w:val="0"/>
        <w:spacing w:line="360" w:lineRule="auto"/>
        <w:ind w:left="-10" w:leftChars="0" w:firstLine="64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自评等级和分数。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自评等级为优，分数94.4分。</w:t>
      </w:r>
    </w:p>
    <w:p>
      <w:pPr>
        <w:numPr>
          <w:ilvl w:val="0"/>
          <w:numId w:val="2"/>
        </w:numPr>
        <w:snapToGrid w:val="0"/>
        <w:spacing w:line="360" w:lineRule="auto"/>
        <w:ind w:left="-10" w:leftChars="0" w:firstLine="64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专项资金使用绩效。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专项资金支出情况。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全年预算数为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13.06</w:t>
      </w:r>
      <w:r>
        <w:rPr>
          <w:rFonts w:hint="eastAsia" w:ascii="仿宋_GB2312" w:hAnsi="宋体" w:eastAsia="仿宋_GB2312" w:cs="宋体"/>
          <w:sz w:val="32"/>
          <w:szCs w:val="32"/>
        </w:rPr>
        <w:t>万元，执行数为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9.01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支出率68.98%。支出率较低的主要原因：我单位一名政府购买服务人员2020年8月考到公务员辞职，主要领导又抽调到外地工作，单位人事等三重一大工作暂停开展，导致未及时招聘到新人员。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2.专项资金完成绩效目标情况。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专项资金能按照年初设定的绩效目标使用，保障了政府购买服务人员的基本工资、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绩效奖、社保、住房公积金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等支出，产出、效益指标完成度高（详见清远市侨联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政府购买服务人员专项费用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绩效自评基础信息表）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3.公众满意度调查情况。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经调查，公众满意度100%，达到年初设定的绩效目标。</w:t>
      </w:r>
    </w:p>
    <w:p>
      <w:pPr>
        <w:snapToGrid w:val="0"/>
        <w:spacing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DDB421"/>
    <w:multiLevelType w:val="singleLevel"/>
    <w:tmpl w:val="9EDDB4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814201"/>
    <w:multiLevelType w:val="singleLevel"/>
    <w:tmpl w:val="F5814201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C9/7pyTeh9FWe9tfcnH185vJg6g=" w:salt="A49762jUW7XPruzhgWG23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E32AA"/>
    <w:rsid w:val="28716624"/>
    <w:rsid w:val="3D5F00FE"/>
    <w:rsid w:val="7CC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2021-09-17T07:04:00Z</dcterms:created>
  <dc:creator>Administrator</dc:creator>
  <cp:lastModifiedBy>Administrator</cp:lastModifiedBy>
  <dcterms:modified xsi:type="dcterms:W3CDTF">2021-09-17T07:54:48Z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